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FF6600"/>
          <w:sz w:val="21"/>
          <w:szCs w:val="21"/>
        </w:rPr>
      </w:pPr>
      <w:r>
        <w:rPr>
          <w:rFonts w:ascii="Verdana-Bold-Identity-H" w:hAnsi="Verdana-Bold-Identity-H" w:cs="Verdana-Bold-Identity-H"/>
          <w:b/>
          <w:bCs/>
          <w:color w:val="FF6600"/>
          <w:sz w:val="21"/>
          <w:szCs w:val="21"/>
        </w:rPr>
        <w:t>PDS (Control</w:t>
      </w:r>
      <w:proofErr w:type="gramStart"/>
      <w:r>
        <w:rPr>
          <w:rFonts w:ascii="Verdana-Bold-Identity-H" w:hAnsi="Verdana-Bold-Identity-H" w:cs="Verdana-Bold-Identity-H"/>
          <w:b/>
          <w:bCs/>
          <w:color w:val="FF6600"/>
          <w:sz w:val="21"/>
          <w:szCs w:val="21"/>
        </w:rPr>
        <w:t>)Order</w:t>
      </w:r>
      <w:proofErr w:type="gramEnd"/>
      <w:r>
        <w:rPr>
          <w:rFonts w:ascii="Verdana-Bold-Identity-H" w:hAnsi="Verdana-Bold-Identity-H" w:cs="Verdana-Bold-Identity-H"/>
          <w:b/>
          <w:bCs/>
          <w:color w:val="FF6600"/>
          <w:sz w:val="21"/>
          <w:szCs w:val="21"/>
        </w:rPr>
        <w:t xml:space="preserve"> 2001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[To be published in the Gazette of India, extraordinary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PartII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,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section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3(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i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), Ministry of Consumer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Affairs, Food and Public Distribution]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New Delhi,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 ,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2001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ORDER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GSR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No.630(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E)Whereas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Central Government is of the opinion that it is necessary and expedient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so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do for maintaining supplies and securing availability and distribution of essential commodities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under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Public Distribution System;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Now, therefore, in exercise of the powers conferred by section 3 of the Essential Commodities Act,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1955 (10 of 1955), the Central Government hereby makes the following order, namely: 1.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Short title, extent and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commencement: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(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1) This order may be called the Public Distribution System (Control) Order, 2001.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(2) It extends to the whole of India.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(3) It shall come into force on the date of its publication in the Official Gazette.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2.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Definitions: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(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a)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'Act'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the Essential Commodities Act, 1955 (10 of 1955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);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(b) '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Appellate Authority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' means any authority appointed by the State Government to exercise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powers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the appellate authority under this Order;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(c) ' </w:t>
      </w:r>
      <w:proofErr w:type="gramStart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authority</w:t>
      </w:r>
      <w:proofErr w:type="gramEnd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any officer not below the rank of Inspector in the State Government dealing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with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Food and Civil Supplies;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(d) 'A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bove Poverty Line Families'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those families who have been issued Above Poverty Line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(APL) ration cards by the State Governments for issue of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under the Public Distribution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System;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(e)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'</w:t>
      </w:r>
      <w:proofErr w:type="spellStart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Antyodaya</w:t>
      </w:r>
      <w:proofErr w:type="spellEnd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 families'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those poorest families from amongst Below Poverty Line (BPL)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families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identified by the State Governments and entitled to receive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under the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Anna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Yojana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(f)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'</w:t>
      </w:r>
      <w:proofErr w:type="spellStart"/>
      <w:proofErr w:type="gramStart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authorised</w:t>
      </w:r>
      <w:proofErr w:type="spellEnd"/>
      <w:proofErr w:type="gramEnd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 nominee'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the concerned Department of State Government or a Corporation or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company owned by it or a cooperative;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(g)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'Below Poverty Line families'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those families who have been identified by the State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Government for issue of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at specially subsidized rates adopting the estimates of poverty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given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by the Central Government;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(h)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'</w:t>
      </w:r>
      <w:proofErr w:type="gramStart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eligible</w:t>
      </w:r>
      <w:proofErr w:type="gramEnd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 applicant'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an individual who is resident of a State and fulfills the conditions for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getting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 ration card as may be prescribed by the State Government;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i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) '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e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ssential</w:t>
      </w:r>
      <w:proofErr w:type="gramEnd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 commodities'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essential commodities as defined under the Act;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(j)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'</w:t>
      </w:r>
      <w:proofErr w:type="gramStart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fair</w:t>
      </w:r>
      <w:proofErr w:type="gramEnd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 price shop'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a shop, which has been licensed to distribute essential commodities by an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order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issued under section 3 of the Act, to the ration card holders under the Public Distribution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System;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(k)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'</w:t>
      </w:r>
      <w:proofErr w:type="gramStart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fair</w:t>
      </w:r>
      <w:proofErr w:type="gramEnd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 price shop owner'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a person and includes a cooperative society or a corporation or a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company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a State Government or a Gram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Panchayat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 any other body in whose name a shop has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been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licensed to distribute essential commodities under the Public Distribution System;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(l)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'Public Distribution System'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the system for distribution of essential commodities to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ration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cardholders through the fair price shops, such as rice, wheat, sugar, edible oils, kerosene and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such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other commodities as are notified by the Central Government under clause (a) of section 2 of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Act;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(m)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'</w:t>
      </w:r>
      <w:proofErr w:type="gramStart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ration</w:t>
      </w:r>
      <w:proofErr w:type="gramEnd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 card'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means a document issued under an order or authority of the State Government for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purchase of essential commodities under the Public Distribution System from the fair price shop;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(n)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'State'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includes a Union territory;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(o)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'State Government'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includes Administration of a Union territory;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3.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Identification of families living below the poverty line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 State Governments shall identify families living Below Poverty Line as per paragraph 1 of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Annexe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this Order.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4.Ration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Cards:.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 State Government shall issue distinctive ration cards to Above Poverty Line, Below Poverty Line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and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families and shall conduct periodical review and checking of the ration cards as per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paragraph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2 of the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Annexe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this Order.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5. Scale of issue and issue price: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The Central Government shall make available to the State Governments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for distribution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under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Public Distribution System at such scales and prices as provided in paragraph 3 of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Annexe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this Order.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lastRenderedPageBreak/>
        <w:t>6. Distribution: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(1) The procedure for distribution of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by the Food Corporation of India to the State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Governments or their nominated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agencies,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shall be as per paragraph 4 of the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Annexe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this Order.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(2) Fair price shop owners shall take delivery of stocks from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authorised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nominees of the State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Governments to ensure that essential commodities are available at the fair price shop within first week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of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month for which the allotment is made.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(3) The district authority entrusted with the responsibility of implementing the Public Distribution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System shall ensure that the stocks allocated to the fair price shops are physically delivered to them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by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authorised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nominee within the stipulated time.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(4) The authority or person, who is engaged in the distribution and handling of essential commodities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under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Public Distribution System, shall not willfully indulge in substitution or adulteration or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diversion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 theft of stocks from Central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godowns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fair price shop premises or at the premises of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fair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price shop.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Explanation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For the purpose of this clause: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i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) '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diversion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' means unauthorized movement or delivery of essential commodities released from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central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godowns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but not reaching the intended beneficiaries under the Public Distribution System.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(ii) '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substitution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'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meansreplacement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essential commodities released from central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godowns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with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same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articles of inferior quality for distribution to the intended beneficiaries under the Public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Distribution System.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7. Licensing: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(1) The procedure for issue of licenses or authorization to the fair price shops for the distribution of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essential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commodities under Public Distribution System and duties and responsibilities of the fair price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shop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owners shall be as per paragraph 5 of the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Annexe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this Order.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(2) The ration card holder shall not be denied the supply as per entitlement of the essential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commodities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, lying in stock, by the fair price shop owner under the Public Distribution System;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(3) The fair price shop owner shall not retain ration cards after the supply of the essential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commodities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(4) A fair price shop owner shall provide the relevant extracts of the records maintained by him to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beneficiary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on payment of the prescribed fee.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8. Monitoring: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 procedure for monitoring of the Public Distribution System including the functioning of the fair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price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shops by the State Governments shall be as per paragraph 6 of the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Annexe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this Order.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9. Penalty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If any person contravenes any provisions of this Order under clauses 3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,4,6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and 7, he shall be liable to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punishment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under Section 7 of the Act.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10. Power of search and </w:t>
      </w:r>
      <w:proofErr w:type="gramStart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seizure :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(1) An authority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authorised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by State Government, shall be competent to inspect or summon such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records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 documents as may be considered by him necessary for examination and take extracts or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copies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any records or documents produced before him.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(2) If the said authority has reason to believe that there has been any contravention of the provisions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of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this Order or with a view to securing compliance with this Order, he may enter, inspect or search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fair price shop or any premises relevant to transactions of business of the fair price shop.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(3) The said authority may also search, seize or remove such books of accounts or stocks of essential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commodities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where such authority has reason to believe that these have been used or will be used in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contravention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the provisions of this order.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(4) The provisions of section 100 of the Code of Criminal Procedure 1973, relating to search and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seizure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shall so far as may be, apply to search and seizure under this Order.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11. Appeal: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(1) All appeals shall lie before the Appellate Authority appointed under paragraph 7 of the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Annexe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this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Order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(2) Any person aggrieved by an order of the designated authority denying the issue or renewal of a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ration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card or cancellation of the ration card may appeal to the Appellate Authority within thirty days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of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date of receipt of the order.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(3) Any person aggrieved by an order of the designated authority denying the issue or renewal of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licence</w:t>
      </w:r>
      <w:proofErr w:type="spellEnd"/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the fair price shop owner, or cancellation of the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licence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may appeal to the Appellate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Authority within thirty days of the date of receipt of the order.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(4) No such appeal shall be disposed of unless the aggrieved person has been given a reasonable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opportunity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being heard.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(5) Pending the disposal of an appeal, the Appellate Authority may direct that the order under appeal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shall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not take effect until the appeal is disposed of.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12. Protection of action taken under Order: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lastRenderedPageBreak/>
        <w:t>No suit, prosecution or other legal proceeding shall lie against any person for anything which is in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good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faith done or intended to be done in pursuance of this Order.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13. Power of Central Government to give directions: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 Central Government may give such directions as it may deem necessary to State Government for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execution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all or any of the provisions of this Order and the State Government shall comply with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such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directions.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14. Provisions of the Order to prevail over previous Orders of State Governments: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 provisions of this Order shall have effect notwithstanding anything to the contrary contained in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any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Order made by a State Government or by an officer of such State Government before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commencement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this Order except as respects anything done, or omitted to be done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thereunder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before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such commencement: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(S.C. BRAHMA)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JOINT SECRETARY TO THE GOVERNMENT OF INDIA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proofErr w:type="spellStart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Annexe</w:t>
      </w:r>
      <w:proofErr w:type="spellEnd"/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 to the Public Distribution System Control Order, 2001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[See clauses 3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,4,5,6,7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, 8,10 &amp; 12]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1.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Identification of families living below the poverty line: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(1) State Governments shall formulate suitable guidelines for the purpose of identification of families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living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Below the Poverty Line (BPL), including the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families, as per the estimates adopted by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Central Government. Care will be taken to ensure that the families so identified are really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poorest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. The exercise of identification of BPL and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families, wherever it has not been done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already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, shall be completed within three months of the issue of this Order.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(2) State Governments shall get the lists of BPL and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families reviewed every year for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purpose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deletion of ineligible families and inclusion of eligible families.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(3) While undertaking the exercise of identification or review of BPL and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families, each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State Government shall prescribe a suitable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proforma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be filled up by or on behalf of the head of a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family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(4) The data provided in the prescribed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proforma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shall be verified by the authority designated by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State Government for the purpose.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said authority shall also certify the correctness of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information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contained in the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proforma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(5) Gram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Sabhas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shall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finalise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list of beneficiaries belonging to BPL and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categories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drawn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up by the designated authority in respect of the area under their respective jurisdiction.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(6) Where there are no Gram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Sabhas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, the local representative bodies shall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finalise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list of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beneficiaries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belonging to BPL and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categories within their respective jurisdiction.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(7) The designated authority of the State Government or the local representative bodies including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Gram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Sabhas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and Gram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Panchayats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which have been entrusted with the task of identification of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beneficiaries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, shall verify and certify the information in the prescribed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proforma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for BPL and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families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2. Ration Cards: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(1) State Governments shall ensure that no eligible applicant is denied a ration card under the Public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Distribution System.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(2) The ration card holder shall be entitled to draw essential commodities from a fair price shop 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weekly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basis.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(3) State Government shall issue distinctive ration cards to APL, BPL and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families.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(4) The designated authority shall issue a ration card within one month of the date of receipt of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application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after necessary checks and verification.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(5) State Governments shall specify a timeframe for making additions or alterations in the ration card.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In case this time limit is not adhered to, the reasons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therefor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shall be intimated to the applicant in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writing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(6) State Government shall conduct periodical checking of ration cards to weed out ineligible and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bogus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ration cards and bogus units in ration cards.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(7) A ration card shall be valid for a specified period. A ration card shall be issued afresh or renewed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after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fresh verification of antecedents and such other checks as may be prescribed by the State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Governments in this regard.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(8) Elimination of bogus ration cards as well as bogus units in the ration cards shall be a continuous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exercise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by the State Governments to check diversion of essential commodities.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(9) Ration cards shall not be used as documents of identity.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3.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Scale of issue and issue price: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(1) The Central Government shall make available to the State Governments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for distribution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under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Public Distribution System to various categories of beneficiaries at such scales and prices,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may be specified from time to time.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(2) The State Governments shall not divert the allocations made by the Central Government for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distribution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under the Public Distribution System.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lastRenderedPageBreak/>
        <w:t xml:space="preserve">4.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Distribution: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(1) The Food Corporation of India (FCI) or any other agency designated for the purpose by the Central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Government shall ensure physical delivery of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fair average quality to State Governments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for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distribution under the Public Distribution System, as per the allocations made by the Central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Government, within two weeks of the receipt of payment from the State Governments and issue of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release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orders.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(2) State Governments shall, on getting allocation of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from the Central Government, issue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districtwise</w:t>
      </w:r>
      <w:proofErr w:type="spellEnd"/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allocation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orders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authorising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their agencies or nominees to draw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from the FCI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within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ten days of the receipt of allocation orders made by the Government of India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(3) The designated authority of the State Governments shall ensure delivery of one copy of allocation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order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made to the fair price shop simultaneously to Gram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Panchayats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 Nagar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Palikas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 Vigilance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Committees or any other body nominated for monitoring the functioning of the fair price shops by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concerned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State Government.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(4) Gram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Panchayats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 Nagar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Palikas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 Vigilance Committees or any other body nominated for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monitoring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functioning of the fair price shop by State Governments shall display the stocks of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essential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commodities allotted during the month to the fair price shops on a notice board outside their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office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(5)While making monthly allocations to the fair price shops the designated authority of State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Governments shall take into account the balance stock, if any, lying undistributed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with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fair price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shop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owners for the subsequent allocations.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(6) State Governments shall make arrangements for taking delivery of essential commodities issued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by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Central Government by their designated agencies or nominees from the FCI depots/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godowns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and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ensure further delivery to the fair price shop within the first week of the month for which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allocation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is made.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(7) Before making the payment to the FCI the representatives of State Governments or their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nominees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and the FCI shall conduct joint inspection of the stocks of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intended for issue to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ensure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that the stocks conform to the prescribed quality specifications.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(8)The FCI shall issue to the State Governments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stackwise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sealed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samples of the stocks of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supplied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them for distribution under the Public Distribution System at the time of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despatch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(9) State Governments shall exercise necessary checks to ensure that full quantity lifted by them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reaches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their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godowns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and in turn the fair price shops.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(10) State Governments shall ensure that stocks of essential commodities under the Public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Distribution System, as issued from the FCI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godowns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, are not replaced by stocks of inferior quality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during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storage, transit or any other stage till delivery to the ration card holder.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5. Licensing: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State Governments shall issue an order under section 3 of the Act for regulating the sale and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distribution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the essential commodities. The licenses to the fair price shop owner shall be issued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under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said order and shall lay down the duties and responsibilities of the fair price shop owner.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 responsibilities and duties of fair price shop owners shall include, inter alia: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i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)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sale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essential commodities as per the entitlement of ration card holders at the retail issue prices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fixed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by the concerned State Government under the Public Distribution System;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(ii)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display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information on a notice at a prominent place in the shop on daily basis regarding (a) list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of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BPL and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Antodaya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beneficiaries, (b) entitlement of essential commodities, (c) scale of issue, (d)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retail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issue prices, (e) timings of opening and closing of the fair price shop, (f) stock of essential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commodities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received during the month, (g) opening and closing stock of essential commodities and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(h)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authority for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redressal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grievances/lodging complaints with respect to quality and quantity of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essential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commodities under the Public Distribution System;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(iii)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maintenance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records of ration card holders (APL, BPL and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), stock register, issue or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sale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register;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(iv)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furnishing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copies of specified documents, namely, ration card register, stock register, sale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register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the office of the Gram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Panchayat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 Nagar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Palika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or Vigilance Committee or any other body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authorized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by State Governments for the purpose;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(v)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display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samples of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being supplied through the fair price shop;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(vi)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production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books and records relating to the allotment and distribution of essential commodities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to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inspecting agency and furnishing of such information as may be called for by the designated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authority;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(vii) </w:t>
      </w:r>
      <w:proofErr w:type="spellStart"/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accountal</w:t>
      </w:r>
      <w:proofErr w:type="spellEnd"/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the actual distribution of essential commodities and the balance stock at the end of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month to the designated authority of the concerned State Government with a copy to the Gram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Panchayat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;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lastRenderedPageBreak/>
        <w:t xml:space="preserve">(viii)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opening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and closing of the fair price shop as per the prescribed timings displayed on the notice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board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6. Monitoring: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(1) State Governments shall ensure a proper system of monitoring of fair price shops and prescribe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model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sale register, stock register and ration card register.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(2) State Governments shall ensure regular inspections of fair price shops not less than once in six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months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by the designated authority. State Governments may issue orders specifying the inspection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schedule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, list of check points and the authority responsible for ensuring compliance with the said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orders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(3) Meetings of the Vigilance Committees on the Public Distribution System at the State, District,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Block and FPS level shall be held on a regular basis. The date and periodicity shall be notified by State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Governments However, the periodicity shall not be less than one meeting a quarter at all levels.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(4) State Governments shall ensure a periodic system of reporting and the complete information in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this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regard shall be sent in the prescribed form as follows: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i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) By fair price shops to the District Authorities by the 7 </w:t>
      </w:r>
      <w:proofErr w:type="spellStart"/>
      <w:proofErr w:type="gramStart"/>
      <w:r>
        <w:rPr>
          <w:rFonts w:ascii="Verdana-Identity-H" w:hAnsi="Verdana-Identity-H" w:cs="Verdana-Identity-H"/>
          <w:color w:val="000000"/>
          <w:sz w:val="12"/>
          <w:szCs w:val="12"/>
        </w:rPr>
        <w:t>th</w:t>
      </w:r>
      <w:proofErr w:type="spellEnd"/>
      <w:proofErr w:type="gramEnd"/>
      <w:r>
        <w:rPr>
          <w:rFonts w:ascii="Verdana-Identity-H" w:hAnsi="Verdana-Identity-H" w:cs="Verdana-Identity-H"/>
          <w:color w:val="000000"/>
          <w:sz w:val="12"/>
          <w:szCs w:val="12"/>
        </w:rPr>
        <w:t xml:space="preserve">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of the month following the month for which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allocation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is made in Form ‘A’.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(ii) By the District Authorities to State Government by the 15 </w:t>
      </w:r>
      <w:proofErr w:type="spellStart"/>
      <w:proofErr w:type="gramStart"/>
      <w:r>
        <w:rPr>
          <w:rFonts w:ascii="Verdana-Identity-H" w:hAnsi="Verdana-Identity-H" w:cs="Verdana-Identity-H"/>
          <w:color w:val="000000"/>
          <w:sz w:val="12"/>
          <w:szCs w:val="12"/>
        </w:rPr>
        <w:t>th</w:t>
      </w:r>
      <w:proofErr w:type="spellEnd"/>
      <w:proofErr w:type="gramEnd"/>
      <w:r>
        <w:rPr>
          <w:rFonts w:ascii="Verdana-Identity-H" w:hAnsi="Verdana-Identity-H" w:cs="Verdana-Identity-H"/>
          <w:color w:val="000000"/>
          <w:sz w:val="12"/>
          <w:szCs w:val="12"/>
        </w:rPr>
        <w:t xml:space="preserve">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of the month following the month for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which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allocation is made in Form ‘B’.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(iii) By the State Government to the Central Government by the end of the month following the 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for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which allocation is made in Form ‘C’.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(5) Future allocation of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foodgrains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to States shall be linked to the receipt of regular reports from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respective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States and furnishing of utilization certificates by them within a period of two months from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month for which allocation is made.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(6) State Governments shall ensure monitoring of the functioning of the Public Distribution System at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fair price shop level through the computer network of the NIC installed in the District NIC centers.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For this purpose computerized codes shall be issued to each FPS in the district.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(7) State Governments shall educate the ration card holders regarding their rights and privileges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under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the Public Distribution System by use of electronic and print media as well as display boards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outside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fair price shops.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(8) State Governments shall issue and adopt the Citizen’s Charter based on the model Citizens Charter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issued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by the Central Government.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(9) The designated authority shall direct the concerned fair price shop owner to provide relevant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extracts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of the documents maintained by him on an application made by a beneficiary, on payment of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prescribed fee.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7. Appellate Authority: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 State Governments shall appoint the Appellate Authority for the purposes of this order.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7"/>
          <w:szCs w:val="27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7"/>
          <w:szCs w:val="27"/>
        </w:rPr>
        <w:t>FORM A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7"/>
          <w:szCs w:val="27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7"/>
          <w:szCs w:val="27"/>
        </w:rPr>
        <w:t>(See clause 8)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PROFORMA FOR REPORTING THE FUNCTIONING OF FAIR PRICE SHOPS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MONTH: YEAR: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A. Name of State: __ State Code</w:t>
      </w:r>
      <w:proofErr w:type="gram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:_</w:t>
      </w:r>
      <w:proofErr w:type="gram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__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B. Name of the District: __ District Code</w:t>
      </w:r>
      <w:proofErr w:type="gram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:_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C. Name of the Block __ Block Code</w:t>
      </w:r>
      <w:proofErr w:type="gram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:_</w:t>
      </w:r>
      <w:proofErr w:type="gram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__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D. Number/Name of the FPS __ FPS Code: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E. No of the Ration Cards attached to </w:t>
      </w:r>
      <w:proofErr w:type="gram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FPS :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proofErr w:type="spell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Antyodaya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OTHERS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TOTAL: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24"/>
          <w:szCs w:val="24"/>
        </w:rPr>
      </w:pPr>
      <w:r>
        <w:rPr>
          <w:rFonts w:ascii="Verdana-Identity-H" w:hAnsi="Verdana-Identity-H" w:cs="Verdana-Identity-H"/>
          <w:color w:val="000000"/>
          <w:sz w:val="24"/>
          <w:szCs w:val="24"/>
        </w:rPr>
        <w:t>(In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24"/>
          <w:szCs w:val="24"/>
        </w:rPr>
      </w:pPr>
      <w:r>
        <w:rPr>
          <w:rFonts w:ascii="Verdana-Identity-H" w:hAnsi="Verdana-Identity-H" w:cs="Verdana-Identity-H"/>
          <w:color w:val="000000"/>
          <w:sz w:val="24"/>
          <w:szCs w:val="24"/>
        </w:rPr>
        <w:t>Quintals)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TimesNewRomanPSMT-Identity-H" w:hAnsi="TimesNewRomanPSMT-Identity-H" w:cs="TimesNewRomanPSMT-Identity-H"/>
          <w:color w:val="000000"/>
          <w:sz w:val="20"/>
          <w:szCs w:val="20"/>
        </w:rPr>
        <w:t>COMMODITIES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OPENING STOCK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AT THE BEGINING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OF THE 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ALLOCATION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FOR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lastRenderedPageBreak/>
        <w:t>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QTY.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ACTUALLY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RECEIVED BY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TOTAL QTY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(2+4)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DISTRIBUTED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CLOSING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STOCK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(1) (2) (3) (4) (5) (6) (7)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RICE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WHEAT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Antyodaya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Levy Sugar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Edible Oil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Kerosene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32"/>
          <w:szCs w:val="32"/>
        </w:rPr>
        <w:t>FORM B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32"/>
          <w:szCs w:val="32"/>
        </w:rPr>
        <w:t>(See clause 8)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PROFORMA FOR REPORTING THE FUNCTIONING OF FAIR PRICE SHOPS AT DISTRICT LEVEL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MONTH: YEAR: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A. Name of State: __ State Code: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B. Name of the District: __ District Code: ___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C. Total Number of Fair Price Shops in the District at the end of the Month: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D. Details regarding FPS which received the PDS commodities during the </w:t>
      </w:r>
      <w:proofErr w:type="spell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month</w:t>
      </w:r>
      <w:proofErr w:type="gram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: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Sr</w:t>
      </w:r>
      <w:proofErr w:type="spellEnd"/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No. COMMODITY NO OF 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1 WHEAT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2 RICE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3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SUGAR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4 EDIBLE OIL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5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KEROSINE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E. No. of Ration Cards: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proofErr w:type="spell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Antodaya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OTHERS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TOTAL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14"/>
          <w:szCs w:val="14"/>
        </w:rPr>
      </w:pPr>
      <w:proofErr w:type="spell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i</w:t>
      </w:r>
      <w:proofErr w:type="spell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) </w:t>
      </w:r>
      <w:r>
        <w:rPr>
          <w:rFonts w:ascii="TimesNewRomanPSMT-Identity-H" w:hAnsi="TimesNewRomanPSMT-Identity-H" w:cs="TimesNewRomanPSMT-Identity-H"/>
          <w:color w:val="000000"/>
          <w:sz w:val="14"/>
          <w:szCs w:val="14"/>
        </w:rPr>
        <w:t>Number of Ration Cards at the beginning of the 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ii) Number of Ration cards issued during the month.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iii) Number of Ration cards cancelled during the month.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proofErr w:type="gram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iv) Number</w:t>
      </w:r>
      <w:proofErr w:type="gram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 of Ration Card at the close of the 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F.Allocation</w:t>
      </w:r>
      <w:proofErr w:type="spell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/Distribution by the </w:t>
      </w:r>
      <w:proofErr w:type="spell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Distt</w:t>
      </w:r>
      <w:proofErr w:type="spell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.</w:t>
      </w:r>
      <w:proofErr w:type="gram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 Authorities (Qty. in quintals)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COMMODITY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OPENING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STOCK AT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BEGINING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OF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lastRenderedPageBreak/>
        <w:t>TOTAL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MONTHLY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ALLOCATION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QTY PROCURED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UNDER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DECENTRALLISED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PROCURMENT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SCHEME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TOTAL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STOCK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ISSUED TO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DISTRICTS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LIFTED BY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DISTRICTS QTY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DISTRIBUTED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NO QTY NO QTY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(1) (2) (3) (4) (5) (6) (7) (8) (9)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G.Allocation</w:t>
      </w:r>
      <w:proofErr w:type="spell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/Distribution by the FPS.</w:t>
      </w:r>
      <w:proofErr w:type="gram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 (Qty. in quintals)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CODECOMMODITY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OPENING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STOCK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WITH 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ALLOCATED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TO 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RECEIVED BY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 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TOTAL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WITH 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DISTRIBUTED BY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 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CLOSING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STOCK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WITH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RICE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WHEAT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LEVY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SUGAR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EDIBLE OIL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KEROSINE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7"/>
          <w:szCs w:val="27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7"/>
          <w:szCs w:val="27"/>
        </w:rPr>
        <w:t>FORM C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7"/>
          <w:szCs w:val="27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7"/>
          <w:szCs w:val="27"/>
        </w:rPr>
        <w:t>(See clause 8)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PROFORMA FOR REPORTING THE FUNCTIONING OF FAIR PRICE SHOPS AT STATE LEVEL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MONTH: YEAR: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A. Name of State: __ State Code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B. No. of Ration Cards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proofErr w:type="spell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lastRenderedPageBreak/>
        <w:t>Antodaya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OTHERS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TOTAL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proofErr w:type="spell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i</w:t>
      </w:r>
      <w:proofErr w:type="spell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) Number of Ration Cards at the beginning of the 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ii) Number of Ration cards issued during the 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(iii) Number of Ration cards cancelled during the month.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proofErr w:type="gram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(iv) Number</w:t>
      </w:r>
      <w:proofErr w:type="gramEnd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 of Ration Cards at the end of the 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C. Total No. of Fair Price Shops at the end of the 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D. Details of FPS which received the PDS Commodities during the </w:t>
      </w:r>
      <w:proofErr w:type="spell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month</w:t>
      </w:r>
      <w:proofErr w:type="gramStart"/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: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Sr</w:t>
      </w:r>
      <w:proofErr w:type="spellEnd"/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.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No. COMMODITY NO OF 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1 WHEAT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2 RICE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3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SUGAR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4 EDIBLE OIL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5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KEROSINE</w:t>
      </w:r>
      <w:proofErr w:type="gram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E. Allocation/Distribution by the State Govt. (Qty. in quintals)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COMMODIT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OPENING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STOCK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AT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BEGININ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G OF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TOTAL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MONTHLY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ALLOCATIO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QTY PROCURED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UNDER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DECENTRALLISE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 PROCURMENT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SCHEME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TOTAL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STOC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K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ISSUED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TO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DISTRICT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LIFTED BY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DISTRICT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DISTRIBUTE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CLOSEIN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G STOCK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AT 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END OF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MONTH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NO QTY NO QTY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lastRenderedPageBreak/>
        <w:t>(1) (2) (3) (4) (5) (6) (7) (8) (9) (10)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RICE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WHEAT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Antodaya</w:t>
      </w:r>
      <w:proofErr w:type="spellEnd"/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LEVY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SUGAR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EDIBLE OIL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KEROSINE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F. Allocation/Distribution by FPS (Qty. in quintals)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CODECOMMIDITY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OPENING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WITH 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ALLOCATED TO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QUANTITY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RECEIVED BY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TOTAL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WITH 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QTY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DISTRIBUTED BY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THE 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CLOSING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STOCK WITH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FPS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RICE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i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) 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(ii) 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WHEAT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i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) APL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(ii) BPL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LEVY</w:t>
      </w:r>
    </w:p>
    <w:p w:rsidR="00407338" w:rsidRDefault="00407338" w:rsidP="00407338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SUGAR</w:t>
      </w:r>
    </w:p>
    <w:p w:rsidR="00F031BF" w:rsidRDefault="00407338" w:rsidP="00407338">
      <w:r>
        <w:rPr>
          <w:rFonts w:ascii="Verdana-Identity-H" w:hAnsi="Verdana-Identity-H" w:cs="Verdana-Identity-H"/>
          <w:color w:val="000000"/>
          <w:sz w:val="18"/>
          <w:szCs w:val="18"/>
        </w:rPr>
        <w:t>EDIBLE OIL</w:t>
      </w:r>
    </w:p>
    <w:sectPr w:rsidR="00F031BF" w:rsidSect="00D675B4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7338"/>
    <w:rsid w:val="00003E21"/>
    <w:rsid w:val="00407338"/>
    <w:rsid w:val="00632AD5"/>
    <w:rsid w:val="00D675B4"/>
    <w:rsid w:val="00F0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20435</Characters>
  <Application>Microsoft Office Word</Application>
  <DocSecurity>0</DocSecurity>
  <Lines>170</Lines>
  <Paragraphs>47</Paragraphs>
  <ScaleCrop>false</ScaleCrop>
  <Company/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BRANCH</dc:creator>
  <cp:keywords/>
  <dc:description/>
  <cp:lastModifiedBy>POLICY BRANCH</cp:lastModifiedBy>
  <cp:revision>3</cp:revision>
  <dcterms:created xsi:type="dcterms:W3CDTF">2014-06-13T05:08:00Z</dcterms:created>
  <dcterms:modified xsi:type="dcterms:W3CDTF">2014-06-13T05:08:00Z</dcterms:modified>
</cp:coreProperties>
</file>